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4E87F" w14:textId="3657B74E" w:rsidR="00885E32" w:rsidRPr="00DD6B86" w:rsidRDefault="00885E32" w:rsidP="00DD6B86">
      <w:pPr>
        <w:spacing w:after="0" w:line="240" w:lineRule="auto"/>
        <w:jc w:val="center"/>
        <w:rPr>
          <w:rFonts w:ascii="Times New Roman" w:hAnsi="Times New Roman" w:cs="Times New Roman"/>
          <w:b/>
          <w:sz w:val="24"/>
          <w:szCs w:val="24"/>
        </w:rPr>
      </w:pPr>
      <w:r w:rsidRPr="00DD6B86">
        <w:rPr>
          <w:rFonts w:ascii="Times New Roman" w:hAnsi="Times New Roman" w:cs="Times New Roman"/>
          <w:b/>
          <w:sz w:val="24"/>
          <w:szCs w:val="24"/>
        </w:rPr>
        <w:t xml:space="preserve">ТЕНДЕР НА </w:t>
      </w:r>
      <w:r w:rsidR="000913C1" w:rsidRPr="00DD6B86">
        <w:rPr>
          <w:rFonts w:ascii="Times New Roman" w:hAnsi="Times New Roman" w:cs="Times New Roman"/>
          <w:b/>
          <w:sz w:val="24"/>
          <w:szCs w:val="24"/>
        </w:rPr>
        <w:t>ДИЗЕЛЬНЕ ПАЛИВО ДЛЯ КОТЛІВ</w:t>
      </w:r>
    </w:p>
    <w:p w14:paraId="62A82C26" w14:textId="77777777" w:rsidR="00885E32" w:rsidRPr="00DD6B86" w:rsidRDefault="00885E32" w:rsidP="00DD6B86">
      <w:pPr>
        <w:spacing w:after="0" w:line="240" w:lineRule="auto"/>
        <w:jc w:val="center"/>
        <w:rPr>
          <w:rFonts w:ascii="Times New Roman" w:hAnsi="Times New Roman" w:cs="Times New Roman"/>
          <w:sz w:val="24"/>
          <w:szCs w:val="24"/>
        </w:rPr>
      </w:pPr>
      <w:r w:rsidRPr="00DD6B86">
        <w:rPr>
          <w:rFonts w:ascii="Times New Roman" w:hAnsi="Times New Roman" w:cs="Times New Roman"/>
          <w:sz w:val="24"/>
          <w:szCs w:val="24"/>
        </w:rPr>
        <w:t>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45B12FE" w14:textId="5EDF3ECB" w:rsidR="00885E32" w:rsidRPr="00DD6B86" w:rsidRDefault="00885E32" w:rsidP="00DD6B86">
      <w:pPr>
        <w:spacing w:after="0" w:line="240" w:lineRule="auto"/>
        <w:jc w:val="center"/>
        <w:rPr>
          <w:rFonts w:ascii="Times New Roman" w:hAnsi="Times New Roman" w:cs="Times New Roman"/>
          <w:sz w:val="24"/>
          <w:szCs w:val="24"/>
        </w:rPr>
      </w:pPr>
      <w:r w:rsidRPr="00DD6B86">
        <w:rPr>
          <w:rFonts w:ascii="Times New Roman" w:hAnsi="Times New Roman" w:cs="Times New Roman"/>
          <w:sz w:val="24"/>
          <w:szCs w:val="24"/>
        </w:rPr>
        <w:t>відповідно до п. 41 Постанови КМУ від 11 жовтня 2016 року № 710</w:t>
      </w:r>
    </w:p>
    <w:p w14:paraId="405B735F" w14:textId="31612090" w:rsidR="00885E32" w:rsidRPr="00DD6B86" w:rsidRDefault="00885E32" w:rsidP="00DD6B86">
      <w:pPr>
        <w:spacing w:after="0" w:line="240" w:lineRule="auto"/>
        <w:jc w:val="center"/>
        <w:rPr>
          <w:rFonts w:ascii="Times New Roman" w:hAnsi="Times New Roman" w:cs="Times New Roman"/>
          <w:sz w:val="24"/>
          <w:szCs w:val="24"/>
        </w:rPr>
      </w:pPr>
      <w:r w:rsidRPr="00DD6B86">
        <w:rPr>
          <w:rFonts w:ascii="Times New Roman" w:hAnsi="Times New Roman" w:cs="Times New Roman"/>
          <w:sz w:val="24"/>
          <w:szCs w:val="24"/>
        </w:rPr>
        <w:t>«Про ефективне використання державних коштів»</w:t>
      </w:r>
    </w:p>
    <w:p w14:paraId="762B1292" w14:textId="6D745835" w:rsidR="008556D3" w:rsidRPr="00DD6B86" w:rsidRDefault="008556D3" w:rsidP="00DD6B86">
      <w:pPr>
        <w:spacing w:after="0" w:line="240" w:lineRule="auto"/>
        <w:rPr>
          <w:rFonts w:ascii="Times New Roman" w:hAnsi="Times New Roman" w:cs="Times New Roman"/>
          <w:sz w:val="24"/>
          <w:szCs w:val="24"/>
        </w:rPr>
      </w:pPr>
    </w:p>
    <w:p w14:paraId="2158DD55" w14:textId="4E809BF6" w:rsidR="00885E32" w:rsidRPr="00DD6B86" w:rsidRDefault="00885E32" w:rsidP="00DD6B86">
      <w:pPr>
        <w:pStyle w:val="a4"/>
        <w:numPr>
          <w:ilvl w:val="0"/>
          <w:numId w:val="1"/>
        </w:numPr>
        <w:tabs>
          <w:tab w:val="left" w:pos="284"/>
        </w:tabs>
        <w:spacing w:after="0" w:line="240" w:lineRule="auto"/>
        <w:ind w:left="0" w:firstLine="0"/>
        <w:jc w:val="both"/>
        <w:rPr>
          <w:rFonts w:ascii="Times New Roman" w:hAnsi="Times New Roman" w:cs="Times New Roman"/>
          <w:sz w:val="24"/>
          <w:szCs w:val="24"/>
        </w:rPr>
      </w:pPr>
      <w:r w:rsidRPr="00DD6B86">
        <w:rPr>
          <w:rFonts w:ascii="Times New Roman" w:hAnsi="Times New Roman" w:cs="Times New Roman"/>
          <w:sz w:val="24"/>
          <w:szCs w:val="24"/>
        </w:rPr>
        <w:t xml:space="preserve">Предмет закупівлі: </w:t>
      </w:r>
      <w:r w:rsidR="00DD6B86" w:rsidRPr="00DD6B86">
        <w:rPr>
          <w:rFonts w:ascii="Times New Roman" w:hAnsi="Times New Roman" w:cs="Times New Roman"/>
          <w:sz w:val="24"/>
          <w:szCs w:val="24"/>
        </w:rPr>
        <w:t>за ДК 021:2015 код 09130000-9 Нафта і дистиляти (дизельне паливо, бензин (код 09132100-4 неетильований бензин за ДК 021:2015, код 09134200-9 дизельне паливо за ДК 021:2015))</w:t>
      </w:r>
    </w:p>
    <w:p w14:paraId="61E77A11" w14:textId="77777777" w:rsidR="008556D3" w:rsidRPr="00DD6B86" w:rsidRDefault="008556D3" w:rsidP="00DD6B86">
      <w:pPr>
        <w:spacing w:after="0" w:line="240" w:lineRule="auto"/>
        <w:jc w:val="both"/>
        <w:rPr>
          <w:rFonts w:ascii="Times New Roman" w:hAnsi="Times New Roman" w:cs="Times New Roman"/>
          <w:sz w:val="24"/>
          <w:szCs w:val="24"/>
        </w:rPr>
      </w:pPr>
    </w:p>
    <w:p w14:paraId="7DA822C9" w14:textId="7EDAC0FC" w:rsidR="00885E32" w:rsidRPr="00DD6B86" w:rsidRDefault="00885E32" w:rsidP="00DD6B86">
      <w:pPr>
        <w:spacing w:after="0" w:line="240" w:lineRule="auto"/>
        <w:jc w:val="both"/>
        <w:rPr>
          <w:rFonts w:ascii="Times New Roman" w:hAnsi="Times New Roman" w:cs="Times New Roman"/>
          <w:sz w:val="24"/>
          <w:szCs w:val="24"/>
        </w:rPr>
      </w:pPr>
      <w:r w:rsidRPr="00DD6B86">
        <w:rPr>
          <w:rFonts w:ascii="Times New Roman" w:hAnsi="Times New Roman" w:cs="Times New Roman"/>
          <w:sz w:val="24"/>
          <w:szCs w:val="24"/>
        </w:rPr>
        <w:t xml:space="preserve"> 2. Ідентифікатор закупівлі: </w:t>
      </w:r>
      <w:r w:rsidR="000913C1" w:rsidRPr="00DD6B86">
        <w:rPr>
          <w:rFonts w:ascii="Times New Roman" w:hAnsi="Times New Roman" w:cs="Times New Roman"/>
          <w:sz w:val="24"/>
          <w:szCs w:val="24"/>
        </w:rPr>
        <w:t xml:space="preserve">UA-2020-12-03-008782-c </w:t>
      </w:r>
    </w:p>
    <w:p w14:paraId="077F8ABE" w14:textId="77777777" w:rsidR="008556D3" w:rsidRPr="00DD6B86" w:rsidRDefault="008556D3" w:rsidP="00DD6B86">
      <w:pPr>
        <w:spacing w:after="0" w:line="240" w:lineRule="auto"/>
        <w:jc w:val="both"/>
        <w:rPr>
          <w:rFonts w:ascii="Times New Roman" w:hAnsi="Times New Roman" w:cs="Times New Roman"/>
          <w:sz w:val="24"/>
          <w:szCs w:val="24"/>
        </w:rPr>
      </w:pPr>
    </w:p>
    <w:p w14:paraId="0B37288F" w14:textId="0842D8B0" w:rsidR="00885E32" w:rsidRPr="00DD6B86" w:rsidRDefault="00885E32" w:rsidP="00DD6B86">
      <w:pPr>
        <w:spacing w:after="0" w:line="240" w:lineRule="auto"/>
        <w:jc w:val="both"/>
        <w:rPr>
          <w:rFonts w:ascii="Times New Roman" w:hAnsi="Times New Roman" w:cs="Times New Roman"/>
          <w:sz w:val="24"/>
          <w:szCs w:val="24"/>
        </w:rPr>
      </w:pPr>
      <w:r w:rsidRPr="00DD6B86">
        <w:rPr>
          <w:rFonts w:ascii="Times New Roman" w:hAnsi="Times New Roman" w:cs="Times New Roman"/>
          <w:sz w:val="24"/>
          <w:szCs w:val="24"/>
        </w:rPr>
        <w:t>3. обґрунтування технічних та якісних характеристик предмета закупівлі:</w:t>
      </w:r>
    </w:p>
    <w:p w14:paraId="672533EA" w14:textId="77777777" w:rsidR="008556D3" w:rsidRPr="00DD6B86" w:rsidRDefault="00885E32" w:rsidP="00DD6B86">
      <w:pPr>
        <w:spacing w:after="0" w:line="240" w:lineRule="auto"/>
        <w:jc w:val="both"/>
        <w:rPr>
          <w:rFonts w:ascii="Times New Roman" w:hAnsi="Times New Roman" w:cs="Times New Roman"/>
          <w:sz w:val="24"/>
          <w:szCs w:val="24"/>
        </w:rPr>
      </w:pPr>
      <w:r w:rsidRPr="00DD6B86">
        <w:rPr>
          <w:rFonts w:ascii="Times New Roman" w:hAnsi="Times New Roman" w:cs="Times New Roman"/>
          <w:sz w:val="24"/>
          <w:szCs w:val="24"/>
        </w:rPr>
        <w:t xml:space="preserve">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DD6B86">
        <w:rPr>
          <w:rFonts w:ascii="Times New Roman" w:hAnsi="Times New Roman" w:cs="Times New Roman"/>
          <w:sz w:val="24"/>
          <w:szCs w:val="24"/>
        </w:rPr>
        <w:t>закупівель</w:t>
      </w:r>
      <w:proofErr w:type="spellEnd"/>
      <w:r w:rsidRPr="00DD6B86">
        <w:rPr>
          <w:rFonts w:ascii="Times New Roman" w:hAnsi="Times New Roman" w:cs="Times New Roman"/>
          <w:sz w:val="24"/>
          <w:szCs w:val="24"/>
        </w:rPr>
        <w:t xml:space="preserve"> та з дотриманням норм чинного законодавства. </w:t>
      </w:r>
    </w:p>
    <w:p w14:paraId="1AE50436" w14:textId="77777777" w:rsidR="008556D3" w:rsidRPr="00DD6B86" w:rsidRDefault="008556D3" w:rsidP="00DD6B86">
      <w:pPr>
        <w:spacing w:after="0" w:line="240" w:lineRule="auto"/>
        <w:jc w:val="both"/>
        <w:rPr>
          <w:rFonts w:ascii="Times New Roman" w:hAnsi="Times New Roman" w:cs="Times New Roman"/>
          <w:sz w:val="24"/>
          <w:szCs w:val="24"/>
        </w:rPr>
      </w:pPr>
    </w:p>
    <w:p w14:paraId="4EB01CF9" w14:textId="57064201" w:rsidR="00885E32" w:rsidRPr="00DD6B86" w:rsidRDefault="00885E32" w:rsidP="00DD6B86">
      <w:pPr>
        <w:spacing w:after="0" w:line="240" w:lineRule="auto"/>
        <w:jc w:val="both"/>
        <w:rPr>
          <w:rFonts w:ascii="Times New Roman" w:hAnsi="Times New Roman" w:cs="Times New Roman"/>
          <w:sz w:val="24"/>
          <w:szCs w:val="24"/>
        </w:rPr>
      </w:pPr>
      <w:r w:rsidRPr="00DD6B86">
        <w:rPr>
          <w:rFonts w:ascii="Times New Roman" w:hAnsi="Times New Roman" w:cs="Times New Roman"/>
          <w:sz w:val="24"/>
          <w:szCs w:val="24"/>
        </w:rPr>
        <w:t xml:space="preserve">Необхідні технічні характеристики предмета закупівлі передбачені </w:t>
      </w:r>
      <w:r w:rsidR="009C4447" w:rsidRPr="00DD6B86">
        <w:rPr>
          <w:rFonts w:ascii="Times New Roman" w:hAnsi="Times New Roman" w:cs="Times New Roman"/>
          <w:sz w:val="24"/>
          <w:szCs w:val="24"/>
        </w:rPr>
        <w:t xml:space="preserve">в </w:t>
      </w:r>
      <w:r w:rsidRPr="00DD6B86">
        <w:rPr>
          <w:rFonts w:ascii="Times New Roman" w:hAnsi="Times New Roman" w:cs="Times New Roman"/>
          <w:sz w:val="24"/>
          <w:szCs w:val="24"/>
        </w:rPr>
        <w:t>тендерн</w:t>
      </w:r>
      <w:r w:rsidR="009C4447" w:rsidRPr="00DD6B86">
        <w:rPr>
          <w:rFonts w:ascii="Times New Roman" w:hAnsi="Times New Roman" w:cs="Times New Roman"/>
          <w:sz w:val="24"/>
          <w:szCs w:val="24"/>
        </w:rPr>
        <w:t xml:space="preserve">ій </w:t>
      </w:r>
      <w:r w:rsidRPr="00DD6B86">
        <w:rPr>
          <w:rFonts w:ascii="Times New Roman" w:hAnsi="Times New Roman" w:cs="Times New Roman"/>
          <w:sz w:val="24"/>
          <w:szCs w:val="24"/>
        </w:rPr>
        <w:t>документації, а також проектом договору передбачено, що послуги повинні надаватися Виконавцем належної якості та відповідно до норм чинного законодавства України.</w:t>
      </w:r>
    </w:p>
    <w:p w14:paraId="58FBEB3B" w14:textId="291CBCA0" w:rsidR="00885E32" w:rsidRPr="00DD6B86" w:rsidRDefault="00885E32" w:rsidP="00DD6B86">
      <w:pPr>
        <w:spacing w:after="0" w:line="240" w:lineRule="auto"/>
        <w:rPr>
          <w:rFonts w:ascii="Times New Roman" w:hAnsi="Times New Roman" w:cs="Times New Roman"/>
          <w:sz w:val="24"/>
          <w:szCs w:val="24"/>
        </w:rPr>
      </w:pPr>
    </w:p>
    <w:p w14:paraId="2F8BF1F3" w14:textId="77777777" w:rsidR="000913C1" w:rsidRPr="00DD6B86" w:rsidRDefault="000913C1" w:rsidP="00DD6B86">
      <w:pPr>
        <w:widowControl w:val="0"/>
        <w:autoSpaceDE w:val="0"/>
        <w:autoSpaceDN w:val="0"/>
        <w:spacing w:after="0" w:line="240" w:lineRule="auto"/>
        <w:ind w:left="351" w:right="274"/>
        <w:jc w:val="center"/>
        <w:outlineLvl w:val="0"/>
        <w:rPr>
          <w:rFonts w:ascii="Times New Roman" w:eastAsia="Times New Roman" w:hAnsi="Times New Roman" w:cs="Times New Roman"/>
          <w:b/>
          <w:bCs/>
          <w:sz w:val="24"/>
          <w:szCs w:val="24"/>
          <w:lang w:eastAsia="uk-UA" w:bidi="uk-UA"/>
        </w:rPr>
      </w:pPr>
      <w:r w:rsidRPr="00DD6B86">
        <w:rPr>
          <w:rFonts w:ascii="Times New Roman" w:eastAsia="Times New Roman" w:hAnsi="Times New Roman" w:cs="Times New Roman"/>
          <w:b/>
          <w:bCs/>
          <w:sz w:val="24"/>
          <w:szCs w:val="24"/>
          <w:lang w:eastAsia="uk-UA" w:bidi="uk-UA"/>
        </w:rPr>
        <w:t>ТЕХНІЧНІ  ВИМОГИ</w:t>
      </w:r>
    </w:p>
    <w:p w14:paraId="26CDBF49" w14:textId="77777777" w:rsidR="000913C1" w:rsidRPr="00DD6B86" w:rsidRDefault="000913C1" w:rsidP="00DD6B86">
      <w:pPr>
        <w:widowControl w:val="0"/>
        <w:autoSpaceDE w:val="0"/>
        <w:autoSpaceDN w:val="0"/>
        <w:spacing w:after="0" w:line="240" w:lineRule="auto"/>
        <w:rPr>
          <w:rFonts w:ascii="Times New Roman" w:eastAsia="Times New Roman" w:hAnsi="Times New Roman" w:cs="Times New Roman"/>
          <w:b/>
          <w:sz w:val="24"/>
          <w:szCs w:val="24"/>
          <w:lang w:eastAsia="uk-UA" w:bidi="uk-UA"/>
        </w:rPr>
      </w:pPr>
    </w:p>
    <w:tbl>
      <w:tblPr>
        <w:tblStyle w:val="TableNormal"/>
        <w:tblW w:w="10230" w:type="dxa"/>
        <w:tblInd w:w="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5"/>
        <w:gridCol w:w="2660"/>
        <w:gridCol w:w="3685"/>
        <w:gridCol w:w="1701"/>
        <w:gridCol w:w="1469"/>
      </w:tblGrid>
      <w:tr w:rsidR="000913C1" w:rsidRPr="00DD6B86" w14:paraId="20C7D32C" w14:textId="77777777" w:rsidTr="006A1D9F">
        <w:trPr>
          <w:trHeight w:val="552"/>
        </w:trPr>
        <w:tc>
          <w:tcPr>
            <w:tcW w:w="715" w:type="dxa"/>
          </w:tcPr>
          <w:p w14:paraId="3E301C5A" w14:textId="77777777" w:rsidR="000913C1" w:rsidRPr="00DD6B86" w:rsidRDefault="000913C1" w:rsidP="00DD6B86">
            <w:pPr>
              <w:ind w:left="16" w:right="9"/>
              <w:jc w:val="center"/>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 п/п</w:t>
            </w:r>
          </w:p>
        </w:tc>
        <w:tc>
          <w:tcPr>
            <w:tcW w:w="2660" w:type="dxa"/>
          </w:tcPr>
          <w:p w14:paraId="56BC7173" w14:textId="77777777" w:rsidR="000913C1" w:rsidRPr="00DD6B86" w:rsidRDefault="000913C1" w:rsidP="00DD6B86">
            <w:pPr>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 xml:space="preserve">    Предмет закупівлі</w:t>
            </w:r>
          </w:p>
        </w:tc>
        <w:tc>
          <w:tcPr>
            <w:tcW w:w="3685" w:type="dxa"/>
          </w:tcPr>
          <w:p w14:paraId="165930EE" w14:textId="77777777" w:rsidR="000913C1" w:rsidRPr="00DD6B86" w:rsidRDefault="000913C1" w:rsidP="00DD6B86">
            <w:pPr>
              <w:ind w:left="75"/>
              <w:jc w:val="center"/>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Вимоги до предмету закупівлі</w:t>
            </w:r>
          </w:p>
        </w:tc>
        <w:tc>
          <w:tcPr>
            <w:tcW w:w="1701" w:type="dxa"/>
          </w:tcPr>
          <w:p w14:paraId="76B6E05E" w14:textId="77777777" w:rsidR="000913C1" w:rsidRPr="00DD6B86" w:rsidRDefault="000913C1" w:rsidP="00DD6B86">
            <w:pPr>
              <w:ind w:left="344"/>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Одиниця</w:t>
            </w:r>
          </w:p>
          <w:p w14:paraId="60CA620B" w14:textId="77777777" w:rsidR="000913C1" w:rsidRPr="00DD6B86" w:rsidRDefault="000913C1" w:rsidP="00DD6B86">
            <w:pPr>
              <w:ind w:left="464"/>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виміру</w:t>
            </w:r>
          </w:p>
        </w:tc>
        <w:tc>
          <w:tcPr>
            <w:tcW w:w="1469" w:type="dxa"/>
          </w:tcPr>
          <w:p w14:paraId="4F202F6A" w14:textId="77777777" w:rsidR="000913C1" w:rsidRPr="00DD6B86" w:rsidRDefault="000913C1" w:rsidP="00DD6B86">
            <w:pPr>
              <w:ind w:left="189" w:right="176"/>
              <w:jc w:val="center"/>
              <w:rPr>
                <w:rFonts w:ascii="Times New Roman" w:eastAsia="Times New Roman" w:hAnsi="Times New Roman" w:cs="Times New Roman"/>
                <w:b/>
                <w:sz w:val="24"/>
                <w:szCs w:val="24"/>
                <w:lang w:val="uk-UA" w:eastAsia="uk-UA" w:bidi="uk-UA"/>
              </w:rPr>
            </w:pPr>
            <w:r w:rsidRPr="00DD6B86">
              <w:rPr>
                <w:rFonts w:ascii="Times New Roman" w:eastAsia="Times New Roman" w:hAnsi="Times New Roman" w:cs="Times New Roman"/>
                <w:b/>
                <w:sz w:val="24"/>
                <w:szCs w:val="24"/>
                <w:lang w:val="uk-UA" w:eastAsia="uk-UA" w:bidi="uk-UA"/>
              </w:rPr>
              <w:t>Кількість</w:t>
            </w:r>
          </w:p>
        </w:tc>
      </w:tr>
      <w:tr w:rsidR="000913C1" w:rsidRPr="00DD6B86" w14:paraId="183C69FE" w14:textId="77777777" w:rsidTr="006A1D9F">
        <w:trPr>
          <w:trHeight w:val="551"/>
        </w:trPr>
        <w:tc>
          <w:tcPr>
            <w:tcW w:w="715" w:type="dxa"/>
          </w:tcPr>
          <w:p w14:paraId="2CFCF469" w14:textId="77777777" w:rsidR="000913C1" w:rsidRPr="00DD6B86" w:rsidRDefault="000913C1" w:rsidP="00DD6B86">
            <w:pPr>
              <w:ind w:left="9"/>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1</w:t>
            </w:r>
          </w:p>
        </w:tc>
        <w:tc>
          <w:tcPr>
            <w:tcW w:w="2660" w:type="dxa"/>
            <w:vAlign w:val="center"/>
          </w:tcPr>
          <w:p w14:paraId="7F39272C" w14:textId="77777777" w:rsidR="000913C1" w:rsidRPr="00DD6B86" w:rsidRDefault="000913C1" w:rsidP="00DD6B86">
            <w:pPr>
              <w:ind w:left="7"/>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Дизельне паливо</w:t>
            </w:r>
          </w:p>
          <w:p w14:paraId="4EA0CAAE" w14:textId="77777777" w:rsidR="000913C1" w:rsidRPr="00DD6B86" w:rsidRDefault="000913C1" w:rsidP="00DD6B86">
            <w:pPr>
              <w:ind w:left="7"/>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 xml:space="preserve"> (для котлів)</w:t>
            </w:r>
          </w:p>
        </w:tc>
        <w:tc>
          <w:tcPr>
            <w:tcW w:w="3685" w:type="dxa"/>
            <w:vAlign w:val="center"/>
          </w:tcPr>
          <w:p w14:paraId="098C4D41" w14:textId="77777777" w:rsidR="000913C1" w:rsidRPr="00DD6B86" w:rsidRDefault="000913C1" w:rsidP="00DD6B86">
            <w:pPr>
              <w:ind w:left="77" w:right="67"/>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Дизпаливо ДП-Л-Євро5-В0 або еквівалент</w:t>
            </w:r>
          </w:p>
        </w:tc>
        <w:tc>
          <w:tcPr>
            <w:tcW w:w="1701" w:type="dxa"/>
            <w:vAlign w:val="center"/>
          </w:tcPr>
          <w:p w14:paraId="667C7A7F" w14:textId="77777777" w:rsidR="000913C1" w:rsidRPr="00DD6B86" w:rsidRDefault="000913C1" w:rsidP="00DD6B86">
            <w:pPr>
              <w:ind w:left="528" w:right="524"/>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Літри</w:t>
            </w:r>
          </w:p>
        </w:tc>
        <w:tc>
          <w:tcPr>
            <w:tcW w:w="1469" w:type="dxa"/>
            <w:vAlign w:val="center"/>
          </w:tcPr>
          <w:p w14:paraId="507449B4" w14:textId="77777777" w:rsidR="000913C1" w:rsidRPr="00DD6B86" w:rsidRDefault="000913C1" w:rsidP="00DD6B86">
            <w:pPr>
              <w:ind w:left="189" w:right="167"/>
              <w:jc w:val="center"/>
              <w:rPr>
                <w:rFonts w:ascii="Times New Roman" w:eastAsia="Times New Roman" w:hAnsi="Times New Roman" w:cs="Times New Roman"/>
                <w:sz w:val="24"/>
                <w:szCs w:val="24"/>
                <w:lang w:val="uk-UA" w:eastAsia="uk-UA" w:bidi="uk-UA"/>
              </w:rPr>
            </w:pPr>
            <w:r w:rsidRPr="00DD6B86">
              <w:rPr>
                <w:rFonts w:ascii="Times New Roman" w:eastAsia="Times New Roman" w:hAnsi="Times New Roman" w:cs="Times New Roman"/>
                <w:sz w:val="24"/>
                <w:szCs w:val="24"/>
                <w:lang w:val="uk-UA" w:eastAsia="uk-UA" w:bidi="uk-UA"/>
              </w:rPr>
              <w:t>33 000</w:t>
            </w:r>
          </w:p>
        </w:tc>
      </w:tr>
    </w:tbl>
    <w:p w14:paraId="60BAE274" w14:textId="77777777" w:rsidR="000913C1" w:rsidRPr="00DD6B86" w:rsidRDefault="000913C1" w:rsidP="00DD6B86">
      <w:pPr>
        <w:widowControl w:val="0"/>
        <w:autoSpaceDE w:val="0"/>
        <w:autoSpaceDN w:val="0"/>
        <w:spacing w:after="0" w:line="240" w:lineRule="auto"/>
        <w:rPr>
          <w:rFonts w:ascii="Times New Roman" w:eastAsia="Times New Roman" w:hAnsi="Times New Roman" w:cs="Times New Roman"/>
          <w:b/>
          <w:sz w:val="24"/>
          <w:szCs w:val="24"/>
          <w:lang w:eastAsia="uk-UA" w:bidi="uk-UA"/>
        </w:rPr>
      </w:pPr>
    </w:p>
    <w:p w14:paraId="7C8E6A48" w14:textId="77777777" w:rsidR="000913C1" w:rsidRPr="00DD6B86" w:rsidRDefault="000913C1" w:rsidP="00DD6B86">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DD6B86">
        <w:rPr>
          <w:rFonts w:ascii="Times New Roman" w:eastAsia="Times New Roman" w:hAnsi="Times New Roman" w:cs="Times New Roman"/>
          <w:sz w:val="24"/>
          <w:szCs w:val="24"/>
          <w:lang w:eastAsia="uk-UA" w:bidi="uk-UA"/>
        </w:rPr>
        <w:t>Товар повинен відповідати характеристикам ДСТУ 7687:2015 (Бензини автомобільні Євро) 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і ДСТУ 7688:2015 (Паливо дизельне євро) 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Якість Товару підтверджується документом про якість Товару (сертифікатом відповідності, паспортом заводу виробника).</w:t>
      </w:r>
    </w:p>
    <w:p w14:paraId="7E904CCE" w14:textId="77777777" w:rsidR="000913C1" w:rsidRPr="00DD6B86" w:rsidRDefault="000913C1" w:rsidP="00DD6B86">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DD6B86">
        <w:rPr>
          <w:rFonts w:ascii="Times New Roman" w:eastAsia="Times New Roman" w:hAnsi="Times New Roman" w:cs="Times New Roman"/>
          <w:sz w:val="24"/>
          <w:szCs w:val="24"/>
          <w:lang w:eastAsia="uk-UA" w:bidi="uk-UA"/>
        </w:rPr>
        <w:t>Учасник гарантує, що нафтопродукти 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00DF7666" w14:textId="77777777" w:rsidR="000913C1" w:rsidRPr="00DD6B86" w:rsidRDefault="000913C1" w:rsidP="00DD6B86">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DD6B86">
        <w:rPr>
          <w:rFonts w:ascii="Times New Roman" w:eastAsia="Times New Roman" w:hAnsi="Times New Roman" w:cs="Times New Roman"/>
          <w:sz w:val="24"/>
          <w:szCs w:val="24"/>
          <w:lang w:eastAsia="uk-UA" w:bidi="uk-UA"/>
        </w:rPr>
        <w:t>Замовник має право вимагати від учасника-переможця поставки товару не менше ніж 30 % кількості товару, заявленого замовником в тендерній документації, за цінами ІІІ-го раунду аукціону процедури Відкритих торгів. Учасник повинен надати гарантійний лист на поставку товару не менше 30% кількості товару за цінами ІІІ-го раунду аукціону.</w:t>
      </w:r>
    </w:p>
    <w:p w14:paraId="7C1B47C5" w14:textId="3D9D460E" w:rsidR="000913C1" w:rsidRPr="00DD6B86" w:rsidRDefault="000913C1" w:rsidP="00DD6B86">
      <w:pPr>
        <w:spacing w:after="0" w:line="240" w:lineRule="auto"/>
        <w:rPr>
          <w:rFonts w:ascii="Times New Roman" w:hAnsi="Times New Roman" w:cs="Times New Roman"/>
          <w:sz w:val="24"/>
          <w:szCs w:val="24"/>
        </w:rPr>
      </w:pPr>
    </w:p>
    <w:p w14:paraId="58C50741" w14:textId="4D132B15" w:rsidR="003964C6" w:rsidRPr="00DD6B86" w:rsidRDefault="003964C6" w:rsidP="00DD6B86">
      <w:pPr>
        <w:spacing w:after="0" w:line="240" w:lineRule="auto"/>
        <w:rPr>
          <w:rFonts w:ascii="Times New Roman" w:hAnsi="Times New Roman" w:cs="Times New Roman"/>
          <w:sz w:val="24"/>
          <w:szCs w:val="24"/>
        </w:rPr>
      </w:pPr>
      <w:r w:rsidRPr="00DD6B86">
        <w:rPr>
          <w:rFonts w:ascii="Times New Roman" w:hAnsi="Times New Roman" w:cs="Times New Roman"/>
          <w:sz w:val="24"/>
          <w:szCs w:val="24"/>
        </w:rPr>
        <w:t xml:space="preserve">4. обґрунтування розміру бюджетного призначення та очікуваної вартості предмета закупівлі: відповідно до Наказу Мінекономіки від 18.02.2020 № 275 "Про затвердження примірної методики визначення очікуваної вартості предмета закупівлі" було проведено моніторинг </w:t>
      </w:r>
      <w:r w:rsidR="00DD6B86">
        <w:rPr>
          <w:rFonts w:ascii="Times New Roman" w:hAnsi="Times New Roman" w:cs="Times New Roman"/>
          <w:sz w:val="24"/>
          <w:szCs w:val="24"/>
        </w:rPr>
        <w:t xml:space="preserve">цін на </w:t>
      </w:r>
      <w:r w:rsidR="000913C1" w:rsidRPr="00DD6B86">
        <w:rPr>
          <w:rFonts w:ascii="Times New Roman" w:hAnsi="Times New Roman" w:cs="Times New Roman"/>
          <w:sz w:val="24"/>
          <w:szCs w:val="24"/>
        </w:rPr>
        <w:t>дизельн</w:t>
      </w:r>
      <w:r w:rsidR="00DD6B86">
        <w:rPr>
          <w:rFonts w:ascii="Times New Roman" w:hAnsi="Times New Roman" w:cs="Times New Roman"/>
          <w:sz w:val="24"/>
          <w:szCs w:val="24"/>
        </w:rPr>
        <w:t xml:space="preserve">е </w:t>
      </w:r>
      <w:r w:rsidR="000913C1" w:rsidRPr="00DD6B86">
        <w:rPr>
          <w:rFonts w:ascii="Times New Roman" w:hAnsi="Times New Roman" w:cs="Times New Roman"/>
          <w:sz w:val="24"/>
          <w:szCs w:val="24"/>
        </w:rPr>
        <w:t>палив</w:t>
      </w:r>
      <w:r w:rsidR="00DD6B86">
        <w:rPr>
          <w:rFonts w:ascii="Times New Roman" w:hAnsi="Times New Roman" w:cs="Times New Roman"/>
          <w:sz w:val="24"/>
          <w:szCs w:val="24"/>
        </w:rPr>
        <w:t>о</w:t>
      </w:r>
      <w:r w:rsidR="000913C1" w:rsidRPr="00DD6B86">
        <w:rPr>
          <w:rFonts w:ascii="Times New Roman" w:hAnsi="Times New Roman" w:cs="Times New Roman"/>
          <w:sz w:val="24"/>
          <w:szCs w:val="24"/>
        </w:rPr>
        <w:t xml:space="preserve"> для котлів</w:t>
      </w:r>
      <w:r w:rsidRPr="00DD6B86">
        <w:rPr>
          <w:rFonts w:ascii="Times New Roman" w:hAnsi="Times New Roman" w:cs="Times New Roman"/>
          <w:sz w:val="24"/>
          <w:szCs w:val="24"/>
        </w:rPr>
        <w:t xml:space="preserve">. </w:t>
      </w:r>
    </w:p>
    <w:p w14:paraId="5B68E1CA" w14:textId="50C7A08B" w:rsidR="001171BD" w:rsidRPr="00DD6B86" w:rsidRDefault="003964C6" w:rsidP="00DD6B86">
      <w:pPr>
        <w:spacing w:after="0" w:line="240" w:lineRule="auto"/>
        <w:rPr>
          <w:rFonts w:ascii="Times New Roman" w:hAnsi="Times New Roman" w:cs="Times New Roman"/>
          <w:sz w:val="24"/>
          <w:szCs w:val="24"/>
        </w:rPr>
      </w:pPr>
      <w:r w:rsidRPr="00DD6B86">
        <w:rPr>
          <w:rFonts w:ascii="Times New Roman" w:hAnsi="Times New Roman" w:cs="Times New Roman"/>
          <w:sz w:val="24"/>
          <w:szCs w:val="24"/>
        </w:rPr>
        <w:t xml:space="preserve">Розрахунок бюджетного призначення та очікуваної вартості предмета закупівлі здійснювався на підставі порівняння ринкових цін в інтернеті, аналізу попередніх </w:t>
      </w:r>
      <w:proofErr w:type="spellStart"/>
      <w:r w:rsidRPr="00DD6B86">
        <w:rPr>
          <w:rFonts w:ascii="Times New Roman" w:hAnsi="Times New Roman" w:cs="Times New Roman"/>
          <w:sz w:val="24"/>
          <w:szCs w:val="24"/>
        </w:rPr>
        <w:t>закупівель</w:t>
      </w:r>
      <w:proofErr w:type="spellEnd"/>
      <w:r w:rsidRPr="00DD6B86">
        <w:rPr>
          <w:rFonts w:ascii="Times New Roman" w:hAnsi="Times New Roman" w:cs="Times New Roman"/>
          <w:sz w:val="24"/>
          <w:szCs w:val="24"/>
        </w:rPr>
        <w:t>, з урахуванням індексу інфляції, зростання цін, тощо.</w:t>
      </w:r>
    </w:p>
    <w:tbl>
      <w:tblPr>
        <w:tblStyle w:val="a3"/>
        <w:tblpPr w:leftFromText="180" w:rightFromText="180" w:vertAnchor="text" w:horzAnchor="page" w:tblpX="4123" w:tblpY="113"/>
        <w:tblOverlap w:val="never"/>
        <w:tblW w:w="0" w:type="auto"/>
        <w:tblLook w:val="04A0" w:firstRow="1" w:lastRow="0" w:firstColumn="1" w:lastColumn="0" w:noHBand="0" w:noVBand="1"/>
      </w:tblPr>
      <w:tblGrid>
        <w:gridCol w:w="1507"/>
        <w:gridCol w:w="2162"/>
        <w:gridCol w:w="3028"/>
      </w:tblGrid>
      <w:tr w:rsidR="00D762D1" w:rsidRPr="00DD6B86" w14:paraId="77F31842" w14:textId="77777777" w:rsidTr="00D762D1">
        <w:trPr>
          <w:trHeight w:val="461"/>
        </w:trPr>
        <w:tc>
          <w:tcPr>
            <w:tcW w:w="1507" w:type="dxa"/>
            <w:vAlign w:val="center"/>
          </w:tcPr>
          <w:p w14:paraId="17FAFEB7" w14:textId="77777777" w:rsidR="00D762D1" w:rsidRPr="00DD6B86" w:rsidRDefault="00D762D1" w:rsidP="00D762D1">
            <w:pPr>
              <w:jc w:val="center"/>
              <w:rPr>
                <w:b/>
                <w:sz w:val="24"/>
                <w:szCs w:val="24"/>
              </w:rPr>
            </w:pPr>
            <w:r w:rsidRPr="00DD6B86">
              <w:rPr>
                <w:b/>
                <w:sz w:val="24"/>
                <w:szCs w:val="24"/>
              </w:rPr>
              <w:t>Назва</w:t>
            </w:r>
          </w:p>
        </w:tc>
        <w:tc>
          <w:tcPr>
            <w:tcW w:w="2162" w:type="dxa"/>
            <w:vAlign w:val="center"/>
          </w:tcPr>
          <w:p w14:paraId="130A79D1" w14:textId="77777777" w:rsidR="00D762D1" w:rsidRPr="00DD6B86" w:rsidRDefault="00D762D1" w:rsidP="00D762D1">
            <w:pPr>
              <w:jc w:val="center"/>
              <w:rPr>
                <w:b/>
                <w:sz w:val="24"/>
                <w:szCs w:val="24"/>
              </w:rPr>
            </w:pPr>
            <w:r w:rsidRPr="00DD6B86">
              <w:rPr>
                <w:b/>
                <w:sz w:val="24"/>
                <w:szCs w:val="24"/>
              </w:rPr>
              <w:t>Ціна</w:t>
            </w:r>
          </w:p>
        </w:tc>
        <w:tc>
          <w:tcPr>
            <w:tcW w:w="3028" w:type="dxa"/>
            <w:vAlign w:val="center"/>
          </w:tcPr>
          <w:p w14:paraId="13EFF768" w14:textId="77777777" w:rsidR="00D762D1" w:rsidRPr="00DD6B86" w:rsidRDefault="00D762D1" w:rsidP="00D762D1">
            <w:pPr>
              <w:jc w:val="center"/>
              <w:rPr>
                <w:b/>
                <w:sz w:val="24"/>
                <w:szCs w:val="24"/>
              </w:rPr>
            </w:pPr>
            <w:r w:rsidRPr="00DD6B86">
              <w:rPr>
                <w:b/>
                <w:sz w:val="24"/>
                <w:szCs w:val="24"/>
              </w:rPr>
              <w:t>Середня ціна</w:t>
            </w:r>
          </w:p>
        </w:tc>
      </w:tr>
      <w:tr w:rsidR="00D762D1" w:rsidRPr="00DD6B86" w14:paraId="05B85FFF" w14:textId="77777777" w:rsidTr="00D762D1">
        <w:trPr>
          <w:trHeight w:val="236"/>
        </w:trPr>
        <w:tc>
          <w:tcPr>
            <w:tcW w:w="1507" w:type="dxa"/>
            <w:vAlign w:val="center"/>
          </w:tcPr>
          <w:p w14:paraId="43F6A71E" w14:textId="77777777" w:rsidR="00D762D1" w:rsidRPr="00DD6B86" w:rsidRDefault="00D762D1" w:rsidP="00D762D1">
            <w:pPr>
              <w:jc w:val="center"/>
              <w:rPr>
                <w:sz w:val="24"/>
                <w:szCs w:val="24"/>
              </w:rPr>
            </w:pPr>
            <w:r w:rsidRPr="00DD6B86">
              <w:rPr>
                <w:sz w:val="24"/>
                <w:szCs w:val="24"/>
                <w:lang w:val="en-US"/>
              </w:rPr>
              <w:t>WOG</w:t>
            </w:r>
          </w:p>
        </w:tc>
        <w:tc>
          <w:tcPr>
            <w:tcW w:w="2162" w:type="dxa"/>
            <w:vAlign w:val="center"/>
          </w:tcPr>
          <w:p w14:paraId="68760F93" w14:textId="77777777" w:rsidR="00D762D1" w:rsidRPr="00DD6B86" w:rsidRDefault="00D762D1" w:rsidP="00D762D1">
            <w:pPr>
              <w:jc w:val="center"/>
              <w:rPr>
                <w:sz w:val="24"/>
                <w:szCs w:val="24"/>
              </w:rPr>
            </w:pPr>
            <w:r w:rsidRPr="00DD6B86">
              <w:rPr>
                <w:sz w:val="24"/>
                <w:szCs w:val="24"/>
              </w:rPr>
              <w:t>25,99</w:t>
            </w:r>
          </w:p>
        </w:tc>
        <w:tc>
          <w:tcPr>
            <w:tcW w:w="3028" w:type="dxa"/>
            <w:vMerge w:val="restart"/>
            <w:vAlign w:val="center"/>
          </w:tcPr>
          <w:p w14:paraId="144066E7" w14:textId="77777777" w:rsidR="00D762D1" w:rsidRPr="00DD6B86" w:rsidRDefault="00D762D1" w:rsidP="00D762D1">
            <w:pPr>
              <w:jc w:val="center"/>
              <w:rPr>
                <w:sz w:val="24"/>
                <w:szCs w:val="24"/>
              </w:rPr>
            </w:pPr>
            <w:r w:rsidRPr="00DD6B86">
              <w:rPr>
                <w:sz w:val="24"/>
                <w:szCs w:val="24"/>
              </w:rPr>
              <w:t>24,21</w:t>
            </w:r>
          </w:p>
        </w:tc>
      </w:tr>
      <w:tr w:rsidR="00D762D1" w:rsidRPr="00DD6B86" w14:paraId="46628E1B" w14:textId="77777777" w:rsidTr="00D762D1">
        <w:trPr>
          <w:trHeight w:val="236"/>
        </w:trPr>
        <w:tc>
          <w:tcPr>
            <w:tcW w:w="1507" w:type="dxa"/>
            <w:vAlign w:val="center"/>
          </w:tcPr>
          <w:p w14:paraId="0D477655" w14:textId="77777777" w:rsidR="00D762D1" w:rsidRPr="00DD6B86" w:rsidRDefault="00D762D1" w:rsidP="00D762D1">
            <w:pPr>
              <w:jc w:val="center"/>
              <w:rPr>
                <w:sz w:val="24"/>
                <w:szCs w:val="24"/>
              </w:rPr>
            </w:pPr>
            <w:r w:rsidRPr="00DD6B86">
              <w:rPr>
                <w:sz w:val="24"/>
                <w:szCs w:val="24"/>
                <w:lang w:val="en-US"/>
              </w:rPr>
              <w:t xml:space="preserve">  KLO</w:t>
            </w:r>
          </w:p>
        </w:tc>
        <w:tc>
          <w:tcPr>
            <w:tcW w:w="2162" w:type="dxa"/>
            <w:vAlign w:val="center"/>
          </w:tcPr>
          <w:p w14:paraId="0993534E" w14:textId="77777777" w:rsidR="00D762D1" w:rsidRPr="00DD6B86" w:rsidRDefault="00D762D1" w:rsidP="00D762D1">
            <w:pPr>
              <w:jc w:val="center"/>
              <w:rPr>
                <w:sz w:val="24"/>
                <w:szCs w:val="24"/>
              </w:rPr>
            </w:pPr>
            <w:r w:rsidRPr="00DD6B86">
              <w:rPr>
                <w:sz w:val="24"/>
                <w:szCs w:val="24"/>
              </w:rPr>
              <w:t>22,89</w:t>
            </w:r>
          </w:p>
        </w:tc>
        <w:tc>
          <w:tcPr>
            <w:tcW w:w="3028" w:type="dxa"/>
            <w:vMerge/>
          </w:tcPr>
          <w:p w14:paraId="73EF8231" w14:textId="77777777" w:rsidR="00D762D1" w:rsidRPr="00DD6B86" w:rsidRDefault="00D762D1" w:rsidP="00D762D1">
            <w:pPr>
              <w:rPr>
                <w:sz w:val="24"/>
                <w:szCs w:val="24"/>
              </w:rPr>
            </w:pPr>
          </w:p>
        </w:tc>
      </w:tr>
      <w:tr w:rsidR="00D762D1" w:rsidRPr="00DD6B86" w14:paraId="42CC799B" w14:textId="77777777" w:rsidTr="00D762D1">
        <w:trPr>
          <w:trHeight w:val="248"/>
        </w:trPr>
        <w:tc>
          <w:tcPr>
            <w:tcW w:w="1507" w:type="dxa"/>
            <w:vAlign w:val="center"/>
          </w:tcPr>
          <w:p w14:paraId="4DF288D6" w14:textId="77777777" w:rsidR="00D762D1" w:rsidRPr="00DD6B86" w:rsidRDefault="00D762D1" w:rsidP="00D762D1">
            <w:pPr>
              <w:jc w:val="center"/>
              <w:rPr>
                <w:sz w:val="24"/>
                <w:szCs w:val="24"/>
                <w:lang w:val="en-US"/>
              </w:rPr>
            </w:pPr>
            <w:proofErr w:type="spellStart"/>
            <w:r w:rsidRPr="00DD6B86">
              <w:rPr>
                <w:sz w:val="24"/>
                <w:szCs w:val="24"/>
                <w:lang w:val="en-US"/>
              </w:rPr>
              <w:t>Glusco</w:t>
            </w:r>
            <w:proofErr w:type="spellEnd"/>
          </w:p>
        </w:tc>
        <w:tc>
          <w:tcPr>
            <w:tcW w:w="2162" w:type="dxa"/>
            <w:vAlign w:val="center"/>
          </w:tcPr>
          <w:p w14:paraId="6C784A36" w14:textId="77777777" w:rsidR="00D762D1" w:rsidRPr="00DD6B86" w:rsidRDefault="00D762D1" w:rsidP="00D762D1">
            <w:pPr>
              <w:jc w:val="center"/>
              <w:rPr>
                <w:sz w:val="24"/>
                <w:szCs w:val="24"/>
              </w:rPr>
            </w:pPr>
            <w:r w:rsidRPr="00DD6B86">
              <w:rPr>
                <w:sz w:val="24"/>
                <w:szCs w:val="24"/>
              </w:rPr>
              <w:t>23,75</w:t>
            </w:r>
          </w:p>
        </w:tc>
        <w:tc>
          <w:tcPr>
            <w:tcW w:w="3028" w:type="dxa"/>
            <w:vMerge/>
          </w:tcPr>
          <w:p w14:paraId="5DC3FCF7" w14:textId="77777777" w:rsidR="00D762D1" w:rsidRPr="00DD6B86" w:rsidRDefault="00D762D1" w:rsidP="00D762D1">
            <w:pPr>
              <w:rPr>
                <w:sz w:val="24"/>
                <w:szCs w:val="24"/>
              </w:rPr>
            </w:pPr>
          </w:p>
        </w:tc>
      </w:tr>
    </w:tbl>
    <w:p w14:paraId="1566D801" w14:textId="25795A3C" w:rsidR="009C4447" w:rsidRPr="00DD6B86" w:rsidRDefault="009C4447" w:rsidP="00DD6B86">
      <w:pPr>
        <w:spacing w:after="0" w:line="240" w:lineRule="auto"/>
        <w:rPr>
          <w:rFonts w:ascii="Times New Roman" w:hAnsi="Times New Roman" w:cs="Times New Roman"/>
          <w:sz w:val="24"/>
          <w:szCs w:val="24"/>
        </w:rPr>
      </w:pPr>
    </w:p>
    <w:p w14:paraId="3B87684B" w14:textId="77777777" w:rsidR="009C4447" w:rsidRPr="00DD6B86" w:rsidRDefault="009C4447" w:rsidP="00DD6B86">
      <w:pPr>
        <w:spacing w:after="0" w:line="240" w:lineRule="auto"/>
        <w:rPr>
          <w:rFonts w:ascii="Times New Roman" w:hAnsi="Times New Roman" w:cs="Times New Roman"/>
          <w:sz w:val="24"/>
          <w:szCs w:val="24"/>
        </w:rPr>
      </w:pPr>
      <w:bookmarkStart w:id="0" w:name="_GoBack"/>
      <w:bookmarkEnd w:id="0"/>
    </w:p>
    <w:sectPr w:rsidR="009C4447" w:rsidRPr="00DD6B86" w:rsidSect="00D762D1">
      <w:pgSz w:w="11906" w:h="16838"/>
      <w:pgMar w:top="709"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F1433"/>
    <w:multiLevelType w:val="hybridMultilevel"/>
    <w:tmpl w:val="72C6A230"/>
    <w:lvl w:ilvl="0" w:tplc="9792615C">
      <w:start w:val="1"/>
      <w:numFmt w:val="decimal"/>
      <w:lvlText w:val="%1."/>
      <w:lvlJc w:val="left"/>
      <w:pPr>
        <w:ind w:left="435" w:hanging="360"/>
      </w:pPr>
      <w:rPr>
        <w:rFonts w:hint="default"/>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9A"/>
    <w:rsid w:val="000913C1"/>
    <w:rsid w:val="001171BD"/>
    <w:rsid w:val="001A6190"/>
    <w:rsid w:val="003964C6"/>
    <w:rsid w:val="003A2B16"/>
    <w:rsid w:val="003A4E63"/>
    <w:rsid w:val="008556D3"/>
    <w:rsid w:val="00885E32"/>
    <w:rsid w:val="009C4447"/>
    <w:rsid w:val="009D669A"/>
    <w:rsid w:val="00B94E80"/>
    <w:rsid w:val="00C76E0D"/>
    <w:rsid w:val="00D762D1"/>
    <w:rsid w:val="00DD6B86"/>
    <w:rsid w:val="00F455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0913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0913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7">
      <w:bodyDiv w:val="1"/>
      <w:marLeft w:val="0"/>
      <w:marRight w:val="0"/>
      <w:marTop w:val="0"/>
      <w:marBottom w:val="0"/>
      <w:divBdr>
        <w:top w:val="none" w:sz="0" w:space="0" w:color="auto"/>
        <w:left w:val="none" w:sz="0" w:space="0" w:color="auto"/>
        <w:bottom w:val="none" w:sz="0" w:space="0" w:color="auto"/>
        <w:right w:val="none" w:sz="0" w:space="0" w:color="auto"/>
      </w:divBdr>
    </w:div>
    <w:div w:id="476185768">
      <w:bodyDiv w:val="1"/>
      <w:marLeft w:val="0"/>
      <w:marRight w:val="0"/>
      <w:marTop w:val="0"/>
      <w:marBottom w:val="0"/>
      <w:divBdr>
        <w:top w:val="none" w:sz="0" w:space="0" w:color="auto"/>
        <w:left w:val="none" w:sz="0" w:space="0" w:color="auto"/>
        <w:bottom w:val="none" w:sz="0" w:space="0" w:color="auto"/>
        <w:right w:val="none" w:sz="0" w:space="0" w:color="auto"/>
      </w:divBdr>
      <w:divsChild>
        <w:div w:id="634994823">
          <w:marLeft w:val="0"/>
          <w:marRight w:val="0"/>
          <w:marTop w:val="0"/>
          <w:marBottom w:val="0"/>
          <w:divBdr>
            <w:top w:val="none" w:sz="0" w:space="0" w:color="auto"/>
            <w:left w:val="none" w:sz="0" w:space="0" w:color="auto"/>
            <w:bottom w:val="none" w:sz="0" w:space="0" w:color="auto"/>
            <w:right w:val="none" w:sz="0" w:space="0" w:color="auto"/>
          </w:divBdr>
          <w:divsChild>
            <w:div w:id="2133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4363">
      <w:bodyDiv w:val="1"/>
      <w:marLeft w:val="0"/>
      <w:marRight w:val="0"/>
      <w:marTop w:val="0"/>
      <w:marBottom w:val="0"/>
      <w:divBdr>
        <w:top w:val="none" w:sz="0" w:space="0" w:color="auto"/>
        <w:left w:val="none" w:sz="0" w:space="0" w:color="auto"/>
        <w:bottom w:val="none" w:sz="0" w:space="0" w:color="auto"/>
        <w:right w:val="none" w:sz="0" w:space="0" w:color="auto"/>
      </w:divBdr>
      <w:divsChild>
        <w:div w:id="1085881803">
          <w:marLeft w:val="0"/>
          <w:marRight w:val="0"/>
          <w:marTop w:val="0"/>
          <w:marBottom w:val="0"/>
          <w:divBdr>
            <w:top w:val="none" w:sz="0" w:space="0" w:color="auto"/>
            <w:left w:val="none" w:sz="0" w:space="0" w:color="auto"/>
            <w:bottom w:val="none" w:sz="0" w:space="0" w:color="auto"/>
            <w:right w:val="none" w:sz="0" w:space="0" w:color="auto"/>
          </w:divBdr>
          <w:divsChild>
            <w:div w:id="375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01B3-A240-4CE5-BF42-90450C50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2035</Words>
  <Characters>1161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OLESIA</cp:lastModifiedBy>
  <cp:revision>9</cp:revision>
  <dcterms:created xsi:type="dcterms:W3CDTF">2021-03-25T11:41:00Z</dcterms:created>
  <dcterms:modified xsi:type="dcterms:W3CDTF">2021-04-09T23:59:00Z</dcterms:modified>
</cp:coreProperties>
</file>